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附件2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黑体" w:hAnsi="黑体" w:eastAsia="黑体"/>
          <w:b/>
          <w:sz w:val="28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4"/>
          <w:szCs w:val="44"/>
        </w:rPr>
        <w:t>申报材料要求及装订顺序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一、申报材料要求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1、企业须在申报材料封面注明所要申报评选的类别。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2、申报企业要如实撰写3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字左右的业绩材料，内容要真实、重点要突出。企业业绩材料应包括企业基本情况、两年发展状况、管理创新情况、企业文化建设、企业党建、党风廉政建设（含廉政风险防控）、职工收入增长及培训情况、安全生产情况、企业社会责任（税收、环保、公益事业、吸纳就业）等；水利投融资企业另需说明两年来完成水利投融资情况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申报企业家要如实撰写3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字以内的业绩材料，内容要突出个人工作成绩。业绩材料应包括申报人基本情况、担任主要领导以来的业绩、个人能力、企业党建和精神文明建设、职工收入水平、团队意识、廉洁自律等方面的情况。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3、业绩材料撰写统一使用第三人称，正文要求三号仿宋，不要插入业绩照片。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4、申报企业填写《全国优秀水利企业申报表》，申报企业家填写《全国优秀水利企业家申报表》。字体要求为小四仿宋，并按要求加盖公章。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5、申报企业需提供：营业执照、资质证书、体系认证证书扫描件；2015和2016年度财务审计报告复印件；2015和2016年所获奖励证书扫描件；标准化评审等级、企业信用等级及绩效评价考核结果（水利部）证明材料；</w:t>
      </w:r>
      <w:r>
        <w:rPr>
          <w:rFonts w:hint="eastAsia" w:ascii="仿宋" w:hAnsi="仿宋" w:eastAsia="仿宋"/>
          <w:color w:val="000000"/>
          <w:sz w:val="32"/>
          <w:szCs w:val="32"/>
        </w:rPr>
        <w:t>由上级主管安全部门出具的企业两年内无较大（含）以上安全事故，无重大质量事故，</w:t>
      </w:r>
      <w:r>
        <w:rPr>
          <w:rFonts w:hint="eastAsia" w:ascii="仿宋" w:hAnsi="仿宋" w:eastAsia="仿宋"/>
          <w:sz w:val="32"/>
          <w:szCs w:val="32"/>
        </w:rPr>
        <w:t>无环境污染事故，</w:t>
      </w:r>
      <w:r>
        <w:rPr>
          <w:rFonts w:hint="eastAsia" w:ascii="仿宋" w:hAnsi="仿宋" w:eastAsia="仿宋"/>
          <w:color w:val="000000"/>
          <w:sz w:val="32"/>
          <w:szCs w:val="32"/>
        </w:rPr>
        <w:t>无违法经营行为的证明等材料。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6、企业家需提供：学历、职称证书、执业资格证书扫描件；任职文件；2年内无不良个人信用记录承诺书；</w:t>
      </w:r>
      <w:r>
        <w:rPr>
          <w:rFonts w:hint="eastAsia" w:ascii="仿宋" w:hAnsi="仿宋" w:eastAsia="仿宋"/>
          <w:color w:val="000000"/>
          <w:sz w:val="32"/>
          <w:szCs w:val="32"/>
        </w:rPr>
        <w:t>管理创新成果和技术创新成果证明材料；研究成果证明材料；</w:t>
      </w:r>
      <w:r>
        <w:rPr>
          <w:rFonts w:hint="eastAsia" w:ascii="仿宋" w:hAnsi="仿宋" w:eastAsia="仿宋"/>
          <w:sz w:val="32"/>
          <w:szCs w:val="32"/>
        </w:rPr>
        <w:t>党组织书面评价意见；工会组织书面评价意见；个人所获奖励及荣誉证书扫描件等材料。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" w:hAnsi="仿宋" w:eastAsia="仿宋"/>
          <w:color w:val="000000"/>
          <w:sz w:val="32"/>
          <w:szCs w:val="32"/>
        </w:rPr>
        <w:t>企业提供的财务数据须为经审计后的数据，不能提供或只能部分提供的需要书面说明理由。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8、申报合同节水评选类别的企业，除提供本通知要求的申报材料外，还需提供以下7方面材料：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1）列举1-2个应用案例，通过相应数据充分分析说明节水技术/产品产生的节水效益；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2）第三方出具的有关证明节水效益的评价或认证文件；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3）节水技术/产品的介绍材料；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4）具体项目的节水方案（可列举1-2个）；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5）参与节水技术/产品的宣传、展览的证明材料；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6）发表在任何媒体中的节水文章；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7）参与国内外重大节水相关项目的节水材料。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9、申报</w:t>
      </w:r>
      <w:r>
        <w:rPr>
          <w:rFonts w:hint="eastAsia" w:ascii="仿宋" w:hAnsi="仿宋" w:eastAsia="仿宋"/>
          <w:color w:val="000000"/>
          <w:sz w:val="32"/>
          <w:szCs w:val="32"/>
        </w:rPr>
        <w:t>企业、企业家各</w:t>
      </w:r>
      <w:r>
        <w:rPr>
          <w:rFonts w:hint="eastAsia" w:ascii="仿宋" w:hAnsi="仿宋" w:eastAsia="仿宋"/>
          <w:sz w:val="32"/>
          <w:szCs w:val="32"/>
        </w:rPr>
        <w:t>提交纸质申报材料一份（A4纸打印），目录清楚、装订整齐，寄至中国水利企业协会；电子申报材料一份，内容与纸质材料一致（加附申报表的word电子版，方便数据选取），发送至邮箱slqx@mwr.gov.cn，或随纸质申报材料附电子光盘一张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二、纸质申报材料内容及装订顺序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（一）全国优秀水利企业申报材料及装订顺序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1、申报材料目录及页码范围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</w:rPr>
        <w:t>《全国优秀水利企业申报表》；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3、企业业绩材料；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4、营业执照；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5、企业资质证书及体系认证证书；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6、2015和2016年度财务审计报告；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7、正式印发的战略规划；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8、管理创新和技术创新成果证明材料（管理创新成果是指在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"http://baike.baidu.com/view/712271.htm"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管理方法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"http://baike.baidu.com/view/712281.htm"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管理手段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和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"http://baike.baidu.com/view/1368688.htm"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管理模式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上的创新</w:t>
      </w:r>
      <w:r>
        <w:rPr>
          <w:rFonts w:hint="eastAsia" w:ascii="仿宋" w:hAnsi="仿宋" w:eastAsia="仿宋"/>
          <w:color w:val="000000"/>
          <w:sz w:val="32"/>
          <w:szCs w:val="32"/>
        </w:rPr>
        <w:t>。技术创新成果包括专利、新工艺、新方法、新设备及新材料）；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9、正式印发的</w:t>
      </w:r>
      <w:r>
        <w:rPr>
          <w:rFonts w:hint="eastAsia" w:ascii="仿宋" w:hAnsi="仿宋" w:eastAsia="仿宋"/>
          <w:sz w:val="32"/>
          <w:szCs w:val="32"/>
        </w:rPr>
        <w:t>经营决策程序，及2年内无重大经营决策失误证明；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10、正式印发的风险管理制度；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11、基础管理制度列表及更新（评估）记录；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12、依法缴纳社会保障费用的证明材料；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13、2年内职工培训计划及执行记录；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</w:t>
      </w:r>
      <w:r>
        <w:rPr>
          <w:rFonts w:hint="eastAsia" w:ascii="仿宋" w:hAnsi="仿宋" w:eastAsia="仿宋"/>
          <w:color w:val="000000"/>
          <w:sz w:val="32"/>
          <w:szCs w:val="32"/>
        </w:rPr>
        <w:t>诚信纳税证明材料；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15、参与社会公益事业活动证明材料；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16、</w:t>
      </w:r>
      <w:r>
        <w:rPr>
          <w:rFonts w:hint="eastAsia" w:ascii="仿宋" w:hAnsi="仿宋" w:eastAsia="仿宋"/>
          <w:sz w:val="32"/>
          <w:szCs w:val="32"/>
        </w:rPr>
        <w:t>2015、2016年企业所获奖励证书；标准化评审等级、企业信用等级及绩效评价考核结果等证明材料；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17、</w:t>
      </w:r>
      <w:r>
        <w:rPr>
          <w:rFonts w:hint="eastAsia" w:ascii="仿宋" w:hAnsi="仿宋" w:eastAsia="仿宋"/>
          <w:color w:val="000000"/>
          <w:sz w:val="32"/>
          <w:szCs w:val="32"/>
        </w:rPr>
        <w:t>由上级主管安全部门出具的企业两年内无较大（含）以上安全事故，无重大质量事故，</w:t>
      </w:r>
      <w:r>
        <w:rPr>
          <w:rFonts w:hint="eastAsia" w:ascii="仿宋" w:hAnsi="仿宋" w:eastAsia="仿宋"/>
          <w:sz w:val="32"/>
          <w:szCs w:val="32"/>
        </w:rPr>
        <w:t>无环境污染责任事故，</w:t>
      </w:r>
      <w:r>
        <w:rPr>
          <w:rFonts w:hint="eastAsia" w:ascii="仿宋" w:hAnsi="仿宋" w:eastAsia="仿宋"/>
          <w:color w:val="000000"/>
          <w:sz w:val="32"/>
          <w:szCs w:val="32"/>
        </w:rPr>
        <w:t>无违法经营行为的证明；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18、企业负责人无刑事犯罪记录承诺。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（二）全国优秀水利企业家申报材料及装订顺序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1、申报材料目录及页码范围；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2、《全国优秀水利企业家申报表》；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3、企业家业绩材料；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4、企业家任职文件；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5、学历、职称、执业资格证书；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6、无不良个人信用记录和</w:t>
      </w:r>
      <w:r>
        <w:rPr>
          <w:rFonts w:hint="eastAsia" w:ascii="仿宋" w:hAnsi="仿宋" w:eastAsia="仿宋"/>
          <w:color w:val="000000"/>
          <w:sz w:val="32"/>
          <w:szCs w:val="32"/>
        </w:rPr>
        <w:t>刑事犯罪记录</w:t>
      </w:r>
      <w:r>
        <w:rPr>
          <w:rFonts w:hint="eastAsia" w:ascii="仿宋" w:hAnsi="仿宋" w:eastAsia="仿宋"/>
          <w:sz w:val="32"/>
          <w:szCs w:val="32"/>
        </w:rPr>
        <w:t>承诺；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7、近2年内重大决策事项及程序；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8、企业及个人管理创新成果和技术创新成果</w:t>
      </w:r>
      <w:r>
        <w:rPr>
          <w:rFonts w:hint="eastAsia" w:ascii="仿宋" w:hAnsi="仿宋" w:eastAsia="仿宋"/>
          <w:color w:val="000000"/>
          <w:sz w:val="32"/>
          <w:szCs w:val="32"/>
        </w:rPr>
        <w:t>（管理创新成果是指在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"http://baike.baidu.com/view/712271.htm"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管理方法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"http://baike.baidu.com/view/712281.htm"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管理手段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和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HYPERLINK "http://baike.baidu.com/view/1368688.htm" \t "_blank"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ascii="仿宋" w:hAnsi="仿宋" w:eastAsia="仿宋"/>
          <w:color w:val="000000"/>
          <w:sz w:val="32"/>
          <w:szCs w:val="32"/>
        </w:rPr>
        <w:t>管理模式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上的创新</w:t>
      </w:r>
      <w:r>
        <w:rPr>
          <w:rFonts w:hint="eastAsia" w:ascii="仿宋" w:hAnsi="仿宋" w:eastAsia="仿宋"/>
          <w:color w:val="000000"/>
          <w:sz w:val="32"/>
          <w:szCs w:val="32"/>
        </w:rPr>
        <w:t>。技术创新成果包括专利、新工艺、新方法、新设备及新材料）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</w:t>
      </w:r>
      <w:r>
        <w:rPr>
          <w:rFonts w:hint="eastAsia" w:ascii="仿宋" w:hAnsi="仿宋" w:eastAsia="仿宋"/>
          <w:color w:val="000000"/>
          <w:sz w:val="32"/>
          <w:szCs w:val="32"/>
        </w:rPr>
        <w:t>研究成果证明材料（2年内主编或参编技术标准、专业著作、论文、项目及课题等。无需全套提供，只需提供封面、作者页等重要部分的复印件即可）；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10、</w:t>
      </w:r>
      <w:r>
        <w:rPr>
          <w:rFonts w:hint="eastAsia" w:ascii="仿宋" w:hAnsi="仿宋" w:eastAsia="仿宋"/>
          <w:sz w:val="32"/>
          <w:szCs w:val="32"/>
        </w:rPr>
        <w:t>2015、2016年企业及个人所获其他奖励、荣誉及资质证书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ind w:firstLine="625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w w:val="98"/>
          <w:sz w:val="32"/>
          <w:szCs w:val="32"/>
        </w:rPr>
        <w:t>11、</w:t>
      </w:r>
      <w:r>
        <w:rPr>
          <w:rFonts w:hint="eastAsia" w:ascii="仿宋" w:hAnsi="仿宋" w:eastAsia="仿宋"/>
          <w:sz w:val="32"/>
          <w:szCs w:val="32"/>
        </w:rPr>
        <w:t>党组织书面评价意见（由企业家所在党组织从思想政治、政策理论学习、组织纪律和廉洁自律四个方面出具）；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12、工会组织书面评价意见（由企业家所在工会组织从工作环境和条件、</w:t>
      </w:r>
      <w:r>
        <w:rPr>
          <w:rFonts w:ascii="仿宋" w:hAnsi="仿宋" w:eastAsia="仿宋"/>
          <w:sz w:val="32"/>
          <w:szCs w:val="32"/>
        </w:rPr>
        <w:t>维护职工合法权益</w:t>
      </w:r>
      <w:r>
        <w:rPr>
          <w:rFonts w:hint="eastAsia" w:ascii="仿宋" w:hAnsi="仿宋" w:eastAsia="仿宋"/>
          <w:sz w:val="32"/>
          <w:szCs w:val="32"/>
        </w:rPr>
        <w:t>、职工</w:t>
      </w:r>
      <w:r>
        <w:rPr>
          <w:rFonts w:ascii="仿宋" w:hAnsi="仿宋" w:eastAsia="仿宋"/>
          <w:sz w:val="32"/>
          <w:szCs w:val="32"/>
        </w:rPr>
        <w:t>福利待遇</w:t>
      </w:r>
      <w:r>
        <w:rPr>
          <w:rFonts w:hint="eastAsia" w:ascii="仿宋" w:hAnsi="仿宋" w:eastAsia="仿宋"/>
          <w:sz w:val="32"/>
          <w:szCs w:val="32"/>
        </w:rPr>
        <w:t>、职工培训和学习等四个方面出具）。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319E0"/>
    <w:rsid w:val="25B319E0"/>
    <w:rsid w:val="762A57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2017-02-15T07:54:00Z</dcterms:created>
  <dc:creator>Administrator</dc:creator>
  <cp:lastModifiedBy>Administrator</cp:lastModifiedBy>
  <dcterms:modified xsi:type="dcterms:W3CDTF">2017-02-15T08:49:35Z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